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87" w:type="dxa"/>
        <w:tblInd w:w="-8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720"/>
        <w:gridCol w:w="4538"/>
        <w:gridCol w:w="3229"/>
      </w:tblGrid>
      <w:tr w:rsidR="00B44115" w:rsidRPr="00F9217B" w:rsidTr="00B44115">
        <w:trPr>
          <w:trHeight w:val="309"/>
        </w:trPr>
        <w:tc>
          <w:tcPr>
            <w:tcW w:w="2720" w:type="dxa"/>
            <w:vMerge w:val="restart"/>
            <w:tcBorders>
              <w:top w:val="single" w:sz="4" w:space="0" w:color="FFFFFF"/>
              <w:left w:val="single" w:sz="4" w:space="0" w:color="FFFFFF"/>
              <w:right w:val="single" w:sz="4" w:space="0" w:color="FFFFFF"/>
            </w:tcBorders>
          </w:tcPr>
          <w:p w:rsidR="00B44115" w:rsidRPr="00F9217B" w:rsidRDefault="00E51D4E" w:rsidP="006D43F3">
            <w:pPr>
              <w:tabs>
                <w:tab w:val="left" w:pos="498"/>
              </w:tabs>
              <w:spacing w:after="200" w:line="276" w:lineRule="auto"/>
              <w:ind w:left="229"/>
              <w:rPr>
                <w:rFonts w:ascii="Trebuchet MS" w:hAnsi="Trebuchet MS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1" locked="0" layoutInCell="1" allowOverlap="1">
                  <wp:simplePos x="0" y="0"/>
                  <wp:positionH relativeFrom="column">
                    <wp:posOffset>-8255</wp:posOffset>
                  </wp:positionH>
                  <wp:positionV relativeFrom="paragraph">
                    <wp:posOffset>10160</wp:posOffset>
                  </wp:positionV>
                  <wp:extent cx="1562100" cy="1612265"/>
                  <wp:effectExtent l="0" t="0" r="0" b="6985"/>
                  <wp:wrapNone/>
                  <wp:docPr id="8" name="Рисунок 0" descr="логотип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0" descr="логоти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12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7767" w:type="dxa"/>
            <w:gridSpan w:val="2"/>
            <w:tcBorders>
              <w:top w:val="single" w:sz="4" w:space="0" w:color="FFFFFF"/>
              <w:left w:val="single" w:sz="4" w:space="0" w:color="FFFFFF"/>
              <w:bottom w:val="thinThickSmallGap" w:sz="24" w:space="0" w:color="FFFF93"/>
              <w:right w:val="single" w:sz="4" w:space="0" w:color="FFFFFF"/>
            </w:tcBorders>
          </w:tcPr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b/>
                <w:lang w:eastAsia="en-US"/>
              </w:rPr>
            </w:pPr>
            <w:r w:rsidRPr="00F9217B">
              <w:rPr>
                <w:rFonts w:ascii="Trebuchet MS" w:hAnsi="Trebuchet MS"/>
                <w:b/>
                <w:lang w:eastAsia="en-US"/>
              </w:rPr>
              <w:t>ОБЩЕСТВО С ОГРАНИЧЕННОЙ ОТВЕТСТВЕННОСТЬЮ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b/>
                <w:lang w:eastAsia="en-US"/>
              </w:rPr>
            </w:pPr>
            <w:r w:rsidRPr="00F9217B">
              <w:rPr>
                <w:rFonts w:ascii="Trebuchet MS" w:hAnsi="Trebuchet MS"/>
                <w:b/>
                <w:lang w:eastAsia="en-US"/>
              </w:rPr>
              <w:t>НАУЧНО-ПРОИЗВОДСТВЕННЫЙ ЦЕНТР «АГРОПИЩЕПРОМ»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r w:rsidRPr="00F9217B">
              <w:rPr>
                <w:rFonts w:ascii="Trebuchet MS" w:hAnsi="Trebuchet MS"/>
                <w:b/>
                <w:lang w:eastAsia="en-US"/>
              </w:rPr>
              <w:t>(ООО НПЦ «АГРОПИЩЕПРОМ»)</w:t>
            </w:r>
          </w:p>
        </w:tc>
      </w:tr>
      <w:tr w:rsidR="00B44115" w:rsidRPr="00F9217B" w:rsidTr="00B44115">
        <w:trPr>
          <w:trHeight w:val="107"/>
        </w:trPr>
        <w:tc>
          <w:tcPr>
            <w:tcW w:w="2720" w:type="dxa"/>
            <w:vMerge/>
            <w:tcBorders>
              <w:left w:val="single" w:sz="4" w:space="0" w:color="FFFFFF"/>
              <w:right w:val="single" w:sz="4" w:space="0" w:color="FFFFFF"/>
            </w:tcBorders>
          </w:tcPr>
          <w:p w:rsidR="00B44115" w:rsidRPr="00F9217B" w:rsidRDefault="00B44115" w:rsidP="006D43F3">
            <w:pPr>
              <w:spacing w:after="200" w:line="276" w:lineRule="auto"/>
              <w:rPr>
                <w:rFonts w:ascii="Trebuchet MS" w:hAnsi="Trebuchet MS"/>
                <w:noProof/>
              </w:rPr>
            </w:pPr>
          </w:p>
        </w:tc>
        <w:tc>
          <w:tcPr>
            <w:tcW w:w="7767" w:type="dxa"/>
            <w:gridSpan w:val="2"/>
            <w:tcBorders>
              <w:top w:val="thinThickSmallGap" w:sz="24" w:space="0" w:color="FFFF93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D4ECA1"/>
          </w:tcPr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b/>
                <w:lang w:eastAsia="en-US"/>
              </w:rPr>
            </w:pPr>
            <w:r w:rsidRPr="00F9217B">
              <w:rPr>
                <w:rFonts w:ascii="Trebuchet MS" w:hAnsi="Trebuchet MS"/>
                <w:b/>
                <w:sz w:val="22"/>
                <w:szCs w:val="22"/>
                <w:lang w:eastAsia="en-US"/>
              </w:rPr>
              <w:t xml:space="preserve">393761, </w:t>
            </w:r>
            <w:r w:rsidRPr="00C34F02">
              <w:rPr>
                <w:rFonts w:ascii="Trebuchet MS" w:hAnsi="Trebuchet MS"/>
                <w:b/>
                <w:sz w:val="22"/>
                <w:szCs w:val="22"/>
                <w:lang w:eastAsia="en-US"/>
              </w:rPr>
              <w:t>Тамбовская область, г. Мичуринск, ул. Советская, дом 286, помещение 6, офис 3 (Технологический отдел)</w:t>
            </w:r>
            <w:r>
              <w:rPr>
                <w:rFonts w:ascii="Trebuchet MS" w:hAnsi="Trebuchet MS"/>
                <w:b/>
                <w:sz w:val="22"/>
                <w:szCs w:val="22"/>
                <w:lang w:eastAsia="en-US"/>
              </w:rPr>
              <w:t xml:space="preserve"> </w:t>
            </w:r>
          </w:p>
        </w:tc>
      </w:tr>
      <w:tr w:rsidR="00B44115" w:rsidRPr="00F9217B" w:rsidTr="00B44115">
        <w:trPr>
          <w:trHeight w:val="456"/>
        </w:trPr>
        <w:tc>
          <w:tcPr>
            <w:tcW w:w="2720" w:type="dxa"/>
            <w:vMerge/>
            <w:tcBorders>
              <w:left w:val="single" w:sz="4" w:space="0" w:color="FFFFFF"/>
              <w:bottom w:val="thinThickSmallGap" w:sz="24" w:space="0" w:color="93DE61"/>
              <w:right w:val="single" w:sz="4" w:space="0" w:color="FFFFFF"/>
            </w:tcBorders>
          </w:tcPr>
          <w:p w:rsidR="00B44115" w:rsidRPr="00F9217B" w:rsidRDefault="00B44115" w:rsidP="006D43F3">
            <w:pPr>
              <w:spacing w:after="200" w:line="276" w:lineRule="auto"/>
              <w:rPr>
                <w:rFonts w:ascii="Trebuchet MS" w:hAnsi="Trebuchet MS"/>
                <w:noProof/>
              </w:rPr>
            </w:pPr>
          </w:p>
        </w:tc>
        <w:tc>
          <w:tcPr>
            <w:tcW w:w="4538" w:type="dxa"/>
            <w:tcBorders>
              <w:top w:val="single" w:sz="4" w:space="0" w:color="FFFFFF"/>
              <w:left w:val="single" w:sz="4" w:space="0" w:color="FFFFFF"/>
              <w:bottom w:val="thinThickSmallGap" w:sz="24" w:space="0" w:color="93DE61"/>
              <w:right w:val="single" w:sz="4" w:space="0" w:color="FFFFFF"/>
            </w:tcBorders>
          </w:tcPr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r w:rsidRPr="00F9217B">
              <w:rPr>
                <w:rFonts w:ascii="Trebuchet MS" w:hAnsi="Trebuchet MS"/>
                <w:lang w:eastAsia="en-US"/>
              </w:rPr>
              <w:t>Телефоны: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r w:rsidRPr="00F9217B">
              <w:rPr>
                <w:rFonts w:ascii="Trebuchet MS" w:hAnsi="Trebuchet MS"/>
                <w:lang w:eastAsia="en-US"/>
              </w:rPr>
              <w:t>8(475-45) 5-09-80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r w:rsidRPr="00F9217B">
              <w:rPr>
                <w:rFonts w:ascii="Trebuchet MS" w:hAnsi="Trebuchet MS"/>
                <w:lang w:eastAsia="en-US"/>
              </w:rPr>
              <w:t>8-902-734-48-79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r w:rsidRPr="00F9217B">
              <w:rPr>
                <w:rFonts w:ascii="Trebuchet MS" w:hAnsi="Trebuchet MS"/>
                <w:lang w:eastAsia="en-US"/>
              </w:rPr>
              <w:t>8-953-719-90-43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r w:rsidRPr="00F9217B">
              <w:rPr>
                <w:rFonts w:ascii="Trebuchet MS" w:hAnsi="Trebuchet MS"/>
                <w:lang w:eastAsia="en-US"/>
              </w:rPr>
              <w:t xml:space="preserve">Факс: 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b/>
                <w:lang w:eastAsia="en-US"/>
              </w:rPr>
            </w:pPr>
            <w:r w:rsidRPr="00F9217B">
              <w:rPr>
                <w:rFonts w:ascii="Trebuchet MS" w:hAnsi="Trebuchet MS"/>
                <w:lang w:eastAsia="en-US"/>
              </w:rPr>
              <w:t>8(475-45) 5-14-13</w:t>
            </w:r>
          </w:p>
        </w:tc>
        <w:tc>
          <w:tcPr>
            <w:tcW w:w="3228" w:type="dxa"/>
            <w:tcBorders>
              <w:top w:val="single" w:sz="4" w:space="0" w:color="FFFFFF"/>
              <w:left w:val="single" w:sz="4" w:space="0" w:color="FFFFFF"/>
              <w:bottom w:val="thinThickSmallGap" w:sz="24" w:space="0" w:color="93DE61"/>
              <w:right w:val="single" w:sz="4" w:space="0" w:color="FFFFFF"/>
            </w:tcBorders>
          </w:tcPr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r w:rsidRPr="00F9217B">
              <w:rPr>
                <w:rFonts w:ascii="Trebuchet MS" w:hAnsi="Trebuchet MS"/>
                <w:lang w:eastAsia="en-US"/>
              </w:rPr>
              <w:t xml:space="preserve">e-mail: 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color w:val="0070C0"/>
                <w:lang w:eastAsia="en-US"/>
              </w:rPr>
            </w:pPr>
            <w:hyperlink r:id="rId7" w:history="1">
              <w:r w:rsidRPr="00F9217B">
                <w:rPr>
                  <w:rFonts w:ascii="Trebuchet MS" w:hAnsi="Trebuchet MS"/>
                  <w:color w:val="0070C0"/>
                  <w:u w:val="single"/>
                  <w:lang w:eastAsia="en-US"/>
                </w:rPr>
                <w:t>agropit@mail.ru</w:t>
              </w:r>
            </w:hyperlink>
            <w:r w:rsidRPr="00F9217B">
              <w:rPr>
                <w:rFonts w:ascii="Trebuchet MS" w:hAnsi="Trebuchet MS"/>
                <w:color w:val="0070C0"/>
                <w:u w:val="single"/>
                <w:lang w:eastAsia="en-US"/>
              </w:rPr>
              <w:t xml:space="preserve">  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hyperlink r:id="rId8" w:history="1">
              <w:r w:rsidRPr="00F9217B">
                <w:rPr>
                  <w:rFonts w:ascii="Trebuchet MS" w:hAnsi="Trebuchet MS"/>
                  <w:color w:val="0070C0"/>
                  <w:u w:val="single"/>
                  <w:lang w:eastAsia="en-US"/>
                </w:rPr>
                <w:t>tu@agropit.ru</w:t>
              </w:r>
            </w:hyperlink>
            <w:r w:rsidRPr="00F9217B">
              <w:rPr>
                <w:rFonts w:ascii="Trebuchet MS" w:hAnsi="Trebuchet MS"/>
                <w:color w:val="0070C0"/>
                <w:u w:val="single"/>
                <w:lang w:eastAsia="en-US"/>
              </w:rPr>
              <w:t xml:space="preserve"> </w:t>
            </w:r>
            <w:r w:rsidRPr="00F9217B">
              <w:rPr>
                <w:rFonts w:ascii="Trebuchet MS" w:hAnsi="Trebuchet MS"/>
                <w:u w:val="single"/>
                <w:lang w:eastAsia="en-US"/>
              </w:rPr>
              <w:t xml:space="preserve"> 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lang w:eastAsia="en-US"/>
              </w:rPr>
            </w:pPr>
            <w:r w:rsidRPr="00F9217B">
              <w:rPr>
                <w:rFonts w:ascii="Trebuchet MS" w:hAnsi="Trebuchet MS"/>
                <w:lang w:eastAsia="en-US"/>
              </w:rPr>
              <w:t xml:space="preserve">  </w:t>
            </w:r>
            <w:r>
              <w:rPr>
                <w:rFonts w:ascii="Trebuchet MS" w:hAnsi="Trebuchet MS"/>
                <w:lang w:eastAsia="en-US"/>
              </w:rPr>
              <w:t>Сайт</w:t>
            </w:r>
            <w:r w:rsidRPr="00F9217B">
              <w:rPr>
                <w:rFonts w:ascii="Trebuchet MS" w:hAnsi="Trebuchet MS"/>
                <w:lang w:eastAsia="en-US"/>
              </w:rPr>
              <w:t>: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color w:val="0070C0"/>
                <w:lang w:eastAsia="en-US"/>
              </w:rPr>
            </w:pPr>
            <w:hyperlink r:id="rId9" w:history="1">
              <w:r w:rsidRPr="00F9217B">
                <w:rPr>
                  <w:rFonts w:ascii="Trebuchet MS" w:hAnsi="Trebuchet MS"/>
                  <w:color w:val="0070C0"/>
                  <w:u w:val="single"/>
                  <w:lang w:eastAsia="en-US"/>
                </w:rPr>
                <w:t>www.agropit.ru</w:t>
              </w:r>
            </w:hyperlink>
            <w:r w:rsidRPr="00F9217B">
              <w:rPr>
                <w:rFonts w:ascii="Trebuchet MS" w:hAnsi="Trebuchet MS"/>
                <w:color w:val="0070C0"/>
                <w:u w:val="single"/>
                <w:lang w:eastAsia="en-US"/>
              </w:rPr>
              <w:t xml:space="preserve">  </w:t>
            </w:r>
            <w:r w:rsidRPr="00F9217B">
              <w:rPr>
                <w:rFonts w:ascii="Trebuchet MS" w:hAnsi="Trebuchet MS"/>
                <w:color w:val="0070C0"/>
                <w:lang w:eastAsia="en-US"/>
              </w:rPr>
              <w:t xml:space="preserve"> </w:t>
            </w:r>
          </w:p>
          <w:p w:rsidR="00B44115" w:rsidRPr="00F9217B" w:rsidRDefault="00B44115" w:rsidP="006D43F3">
            <w:pPr>
              <w:contextualSpacing/>
              <w:jc w:val="center"/>
              <w:rPr>
                <w:rFonts w:ascii="Trebuchet MS" w:hAnsi="Trebuchet MS"/>
                <w:b/>
                <w:lang w:eastAsia="en-US"/>
              </w:rPr>
            </w:pPr>
            <w:r w:rsidRPr="00F9217B">
              <w:rPr>
                <w:rFonts w:ascii="Trebuchet MS" w:hAnsi="Trebuchet MS"/>
                <w:color w:val="0070C0"/>
                <w:lang w:eastAsia="en-US"/>
              </w:rPr>
              <w:t xml:space="preserve"> </w:t>
            </w:r>
          </w:p>
        </w:tc>
      </w:tr>
    </w:tbl>
    <w:p w:rsidR="00B44115" w:rsidRDefault="00B44115" w:rsidP="00B44115">
      <w:pPr>
        <w:spacing w:line="360" w:lineRule="auto"/>
        <w:rPr>
          <w:b/>
          <w:sz w:val="28"/>
          <w:szCs w:val="28"/>
        </w:rPr>
      </w:pPr>
    </w:p>
    <w:p w:rsidR="00000000" w:rsidRDefault="003C5BC2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ПРОМЫШЛЕННОЕ ВОЗДЕЛЫВАНИЕ ЖИМОЛОСТИ</w:t>
      </w:r>
    </w:p>
    <w:p w:rsidR="00B44115" w:rsidRPr="00B44115" w:rsidRDefault="003C5BC2" w:rsidP="00B44115">
      <w:pPr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коммерческое предложение</w:t>
      </w:r>
    </w:p>
    <w:p w:rsidR="00B44115" w:rsidRDefault="00E51D4E">
      <w:pPr>
        <w:spacing w:line="360" w:lineRule="auto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page">
              <wp:posOffset>2366645</wp:posOffset>
            </wp:positionH>
            <wp:positionV relativeFrom="page">
              <wp:posOffset>3181350</wp:posOffset>
            </wp:positionV>
            <wp:extent cx="3605530" cy="4789805"/>
            <wp:effectExtent l="0" t="0" r="0" b="0"/>
            <wp:wrapSquare wrapText="bothSides"/>
            <wp:docPr id="7" name="Изображение 1" descr="поклон сибир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поклон сибир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530" cy="4789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 w:rsidP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 w:rsidP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 w:rsidP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 w:rsidP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B44115" w:rsidP="00B44115">
      <w:pPr>
        <w:spacing w:line="360" w:lineRule="auto"/>
        <w:jc w:val="center"/>
        <w:rPr>
          <w:b/>
          <w:sz w:val="28"/>
          <w:szCs w:val="28"/>
        </w:rPr>
      </w:pPr>
    </w:p>
    <w:p w:rsidR="00B44115" w:rsidRDefault="003C5BC2" w:rsidP="00B44115">
      <w:pPr>
        <w:spacing w:line="360" w:lineRule="auto"/>
        <w:jc w:val="center"/>
        <w:rPr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>Разработчик коммерческого предложения:</w:t>
      </w:r>
      <w:r w:rsidR="00B44115">
        <w:rPr>
          <w:b/>
          <w:sz w:val="28"/>
          <w:szCs w:val="28"/>
        </w:rPr>
        <w:t xml:space="preserve"> </w:t>
      </w:r>
      <w:r w:rsidR="00B44115" w:rsidRPr="00B44115">
        <w:rPr>
          <w:sz w:val="28"/>
          <w:szCs w:val="28"/>
        </w:rPr>
        <w:t>директор Научно-исследовательского центра Садоводства имени И.В. Мичурина</w:t>
      </w:r>
      <w:r w:rsidR="00B44115">
        <w:rPr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кандидат сельскохозяйственных наук</w:t>
      </w:r>
      <w:r w:rsidR="00B44115">
        <w:rPr>
          <w:sz w:val="28"/>
          <w:szCs w:val="28"/>
        </w:rPr>
        <w:t>,</w:t>
      </w:r>
      <w:r w:rsidR="00B44115" w:rsidRPr="00B44115">
        <w:rPr>
          <w:sz w:val="28"/>
          <w:szCs w:val="28"/>
        </w:rPr>
        <w:t xml:space="preserve"> </w:t>
      </w:r>
      <w:r>
        <w:rPr>
          <w:sz w:val="28"/>
          <w:szCs w:val="28"/>
        </w:rPr>
        <w:t>Дмитрий Михайлович Брыксин.</w:t>
      </w:r>
    </w:p>
    <w:p w:rsidR="009E57DE" w:rsidRPr="00B44115" w:rsidRDefault="003C5BC2" w:rsidP="00B44115">
      <w:pPr>
        <w:spacing w:line="360" w:lineRule="auto"/>
        <w:jc w:val="center"/>
        <w:rPr>
          <w:sz w:val="28"/>
          <w:szCs w:val="28"/>
        </w:rPr>
      </w:pPr>
      <w:r>
        <w:rPr>
          <w:b/>
          <w:sz w:val="28"/>
          <w:szCs w:val="28"/>
        </w:rPr>
        <w:t>Мичуринск-наукоград</w:t>
      </w:r>
      <w:r w:rsidR="009E57DE">
        <w:rPr>
          <w:b/>
          <w:sz w:val="28"/>
          <w:szCs w:val="28"/>
        </w:rPr>
        <w:t xml:space="preserve"> </w:t>
      </w:r>
    </w:p>
    <w:p w:rsidR="00000000" w:rsidRDefault="003C5BC2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9E57DE">
        <w:rPr>
          <w:b/>
          <w:sz w:val="28"/>
          <w:szCs w:val="28"/>
        </w:rPr>
        <w:t>9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b/>
          <w:sz w:val="28"/>
          <w:szCs w:val="28"/>
        </w:rPr>
        <w:lastRenderedPageBreak/>
        <w:t>Аннотация.</w:t>
      </w:r>
      <w:r>
        <w:rPr>
          <w:sz w:val="28"/>
          <w:szCs w:val="28"/>
        </w:rPr>
        <w:t xml:space="preserve"> Жимолость – эколо</w:t>
      </w:r>
      <w:r>
        <w:rPr>
          <w:sz w:val="28"/>
          <w:szCs w:val="28"/>
        </w:rPr>
        <w:t>гически безопасная, высоковитаминная культура, обеспечивающая сверхраннее получение ягодной продукции и максимальный экономический эффект.</w:t>
      </w:r>
      <w:r>
        <w:rPr>
          <w:rFonts w:ascii="Arial" w:hAnsi="Arial" w:cs="Arial"/>
          <w:sz w:val="26"/>
          <w:szCs w:val="26"/>
        </w:rPr>
        <w:t xml:space="preserve"> </w:t>
      </w:r>
      <w:r>
        <w:rPr>
          <w:sz w:val="28"/>
          <w:szCs w:val="28"/>
        </w:rPr>
        <w:t>Созревают плоды в конце мая - начале июня. В них содержатся витамины А, В</w:t>
      </w:r>
      <w:r>
        <w:rPr>
          <w:sz w:val="28"/>
          <w:szCs w:val="28"/>
          <w:vertAlign w:val="subscript"/>
        </w:rPr>
        <w:t>1</w:t>
      </w:r>
      <w:r>
        <w:rPr>
          <w:sz w:val="28"/>
          <w:szCs w:val="28"/>
        </w:rPr>
        <w:t>, В</w:t>
      </w:r>
      <w:r>
        <w:rPr>
          <w:sz w:val="28"/>
          <w:szCs w:val="28"/>
          <w:vertAlign w:val="subscript"/>
        </w:rPr>
        <w:t>2</w:t>
      </w:r>
      <w:r>
        <w:rPr>
          <w:sz w:val="28"/>
          <w:szCs w:val="28"/>
        </w:rPr>
        <w:t>, В</w:t>
      </w:r>
      <w:r>
        <w:rPr>
          <w:sz w:val="28"/>
          <w:szCs w:val="28"/>
          <w:vertAlign w:val="subscript"/>
        </w:rPr>
        <w:t>9</w:t>
      </w:r>
      <w:r>
        <w:rPr>
          <w:sz w:val="28"/>
          <w:szCs w:val="28"/>
        </w:rPr>
        <w:t xml:space="preserve">, С, комплексный витамин Р. Так же </w:t>
      </w:r>
      <w:r>
        <w:rPr>
          <w:sz w:val="28"/>
          <w:szCs w:val="28"/>
        </w:rPr>
        <w:t>присутствует селен – в народе известный как витамин молодости. Кроме того, плоды жимолости содержат железа в 1,5 раза больше, чем  яблоки. Плоды жимолости являются ценным сырьём для пищевой промышленности. Из них готовят соки, нектары, джемы, пищевые краси</w:t>
      </w:r>
      <w:r>
        <w:rPr>
          <w:sz w:val="28"/>
          <w:szCs w:val="28"/>
        </w:rPr>
        <w:t xml:space="preserve">тели. 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Современные сорта жимолости отличаются скороплодностью и высокой продуктивностью (до 8 тонн плодов с гектара). Использование при закладке промышленных плантаций современных высокопродуктивных сортов с разными сроками созревания, устойчивых к биотиче</w:t>
      </w:r>
      <w:r>
        <w:rPr>
          <w:sz w:val="28"/>
          <w:szCs w:val="28"/>
        </w:rPr>
        <w:t>ским и абиотическим стрессорам способствует увеличению периода получения свежей продукции до 2 недель. Использование в производстве современных элементов технологии, в том числе и машинной уборки, способствует сокращению затрат труда, и тем самым увеличени</w:t>
      </w:r>
      <w:r>
        <w:rPr>
          <w:sz w:val="28"/>
          <w:szCs w:val="28"/>
        </w:rPr>
        <w:t xml:space="preserve">ю рентабельности культуры. 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Основные структурные элементы промышленной технологии возделывания жимолости: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Выбор местоположения и организация территории;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Подготовка почвы перед закладкой плантации;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Подбор современного сортимента;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Закладка промышленн</w:t>
      </w:r>
      <w:r>
        <w:rPr>
          <w:sz w:val="28"/>
          <w:szCs w:val="28"/>
        </w:rPr>
        <w:t>ой плантации;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Уход за молодыми насаждениями;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Уход за плодоносящими насаждениями;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Раскорчёвка плантации.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Основной целью настоящего предложения является создание промышленных плантаций жимолости с продуктивностью не ниже 6 тонн плодов с гектара и продо</w:t>
      </w:r>
      <w:r>
        <w:rPr>
          <w:sz w:val="28"/>
          <w:szCs w:val="28"/>
        </w:rPr>
        <w:t xml:space="preserve">лжительным периодом потребления свежих плодов (III декада мая – II декада июня).  Специалисты оказывают практическую помощь по разработке проекта, подбору сортимента и авторский надзор за основными технологическими агроприёмами. </w:t>
      </w:r>
    </w:p>
    <w:p w:rsidR="00000000" w:rsidRDefault="003C5BC2">
      <w:pPr>
        <w:ind w:firstLine="720"/>
        <w:jc w:val="both"/>
        <w:rPr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элементы техноло</w:t>
      </w:r>
      <w:r>
        <w:rPr>
          <w:b/>
          <w:sz w:val="28"/>
          <w:szCs w:val="28"/>
        </w:rPr>
        <w:t>гии: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Срок посадки –  третья декада октября;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Схема посадки – 4 х 1 м.;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Плотность посадки – 2500 шт/га.;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Тип орошения – капельное;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Рекомендуемые сорта: Голубой десерт, Диана,  Княгиня, Лёня, Пётр Первый, Трое друзей  и др.;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Период получения свежи</w:t>
      </w:r>
      <w:r>
        <w:rPr>
          <w:sz w:val="28"/>
          <w:szCs w:val="28"/>
        </w:rPr>
        <w:t>х плодов – третья декада мая – вторая декада июня;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Содержание почвы в междурядьях – залужение;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Срок эксплуатации насаждений – 13-15 лет.</w:t>
      </w:r>
    </w:p>
    <w:p w:rsidR="00000000" w:rsidRDefault="003C5BC2">
      <w:pPr>
        <w:ind w:firstLine="720"/>
        <w:jc w:val="center"/>
        <w:rPr>
          <w:b/>
          <w:sz w:val="28"/>
          <w:szCs w:val="28"/>
        </w:rPr>
      </w:pPr>
    </w:p>
    <w:p w:rsidR="00000000" w:rsidRDefault="003C5BC2">
      <w:pPr>
        <w:ind w:firstLine="72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Некоторые сорта жимолости:</w:t>
      </w:r>
    </w:p>
    <w:p w:rsidR="00000000" w:rsidRDefault="003C5BC2">
      <w:pPr>
        <w:ind w:firstLine="720"/>
        <w:jc w:val="center"/>
        <w:rPr>
          <w:b/>
          <w:sz w:val="28"/>
          <w:szCs w:val="28"/>
        </w:rPr>
      </w:pPr>
    </w:p>
    <w:p w:rsidR="00000000" w:rsidRDefault="00E51D4E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2362200" cy="3190875"/>
            <wp:effectExtent l="0" t="0" r="0" b="9525"/>
            <wp:docPr id="2" name="Изображение 2" descr="голубой десер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2" descr="голубой десерт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C2">
        <w:rPr>
          <w:sz w:val="28"/>
          <w:szCs w:val="28"/>
        </w:rPr>
        <w:t xml:space="preserve">              </w:t>
      </w:r>
      <w:r>
        <w:rPr>
          <w:noProof/>
          <w:sz w:val="28"/>
          <w:szCs w:val="28"/>
        </w:rPr>
        <w:drawing>
          <wp:inline distT="0" distB="0" distL="0" distR="0">
            <wp:extent cx="2390775" cy="3257550"/>
            <wp:effectExtent l="0" t="0" r="9525" b="0"/>
            <wp:docPr id="3" name="Изображение 3" descr="диа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3" descr="диана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C5BC2">
      <w:pPr>
        <w:jc w:val="both"/>
        <w:rPr>
          <w:sz w:val="28"/>
          <w:szCs w:val="28"/>
        </w:rPr>
      </w:pPr>
      <w:r>
        <w:rPr>
          <w:sz w:val="28"/>
          <w:szCs w:val="28"/>
        </w:rPr>
        <w:t>Рис. 1. Сорт Голубой десерт.                    Рис. 2. Сорт Диана</w:t>
      </w:r>
    </w:p>
    <w:p w:rsidR="00000000" w:rsidRDefault="003C5BC2">
      <w:pPr>
        <w:jc w:val="both"/>
        <w:rPr>
          <w:sz w:val="28"/>
          <w:szCs w:val="28"/>
        </w:rPr>
      </w:pPr>
    </w:p>
    <w:p w:rsidR="00000000" w:rsidRDefault="00E51D4E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2409825" cy="3209925"/>
            <wp:effectExtent l="0" t="0" r="9525" b="9525"/>
            <wp:docPr id="4" name="Изображение 4" descr="княгин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4" descr="княгиня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5BC2">
        <w:rPr>
          <w:b/>
          <w:sz w:val="28"/>
          <w:szCs w:val="28"/>
        </w:rPr>
        <w:t xml:space="preserve">             </w:t>
      </w:r>
      <w:r w:rsidR="003C5BC2">
        <w:rPr>
          <w:snapToGrid w:val="0"/>
          <w:color w:val="000000"/>
          <w:w w:val="0"/>
          <w:sz w:val="16"/>
          <w:szCs w:val="0"/>
          <w:u w:color="000000"/>
          <w:shd w:val="clear" w:color="000000" w:fill="000000"/>
        </w:rPr>
        <w:t xml:space="preserve"> </w:t>
      </w:r>
      <w:r>
        <w:rPr>
          <w:noProof/>
        </w:rPr>
        <w:drawing>
          <wp:inline distT="0" distB="0" distL="0" distR="0">
            <wp:extent cx="2381250" cy="3181350"/>
            <wp:effectExtent l="0" t="0" r="0" b="0"/>
            <wp:docPr id="1" name="Изображение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:rsidR="00000000" w:rsidRDefault="003C5BC2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Рис. 3. Сорт Княгиня.                               Рис. 4. Сорт </w:t>
      </w:r>
      <w:r>
        <w:rPr>
          <w:sz w:val="28"/>
          <w:szCs w:val="28"/>
        </w:rPr>
        <w:t>Мичуринское диво</w:t>
      </w:r>
      <w:r>
        <w:rPr>
          <w:sz w:val="28"/>
          <w:szCs w:val="28"/>
        </w:rPr>
        <w:t xml:space="preserve">.  </w:t>
      </w:r>
    </w:p>
    <w:p w:rsidR="00000000" w:rsidRDefault="003C5BC2">
      <w:pPr>
        <w:ind w:firstLine="720"/>
        <w:jc w:val="center"/>
        <w:rPr>
          <w:b/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Основные преимущества промышленной технологии возделывания жимолости: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Высокая урожайность: не ниже 6-8 т/га;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Возможность получения экологически - безо</w:t>
      </w:r>
      <w:r>
        <w:rPr>
          <w:sz w:val="28"/>
          <w:szCs w:val="28"/>
        </w:rPr>
        <w:t>пасной продукции;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Возможность механизации возделывания и уборки урожая;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Окупаемость капительных затрат на 6 год.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Внедрение в производство современных сортов жимолости исключает применение химических средств защиты растений от вредителей и болезней. Соз</w:t>
      </w:r>
      <w:r>
        <w:rPr>
          <w:sz w:val="28"/>
          <w:szCs w:val="28"/>
        </w:rPr>
        <w:t>дание системы капельного полива позволит использовать фертигацию, основанную на анализе агрохимических и агрофизических свойств почвы и воды.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Ожидаемые результаты:</w:t>
      </w:r>
    </w:p>
    <w:p w:rsidR="00000000" w:rsidRDefault="003C5BC2">
      <w:pPr>
        <w:ind w:firstLine="720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при использовании элитного посадочного материала (двухлетних саженцев) современных сортов ж</w:t>
      </w:r>
      <w:r>
        <w:rPr>
          <w:i/>
          <w:sz w:val="28"/>
          <w:szCs w:val="28"/>
        </w:rPr>
        <w:t>имолости: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 1 год после посадки – нет урожая;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 2 год после посадки – 0,3 тонны плодов с гектара;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 3 год после посадки – 0,8 тонны плодов с гектара;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 4 год после посадки – 2,5 тонны плодов с гектара;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 5 год после посадки – 3,8 тонны плодов с гектар</w:t>
      </w:r>
      <w:r>
        <w:rPr>
          <w:sz w:val="28"/>
          <w:szCs w:val="28"/>
        </w:rPr>
        <w:t>а;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●  6 – 15 годы после посадки – 6,0 тонн плодов с гектара;</w:t>
      </w:r>
    </w:p>
    <w:p w:rsidR="00000000" w:rsidRDefault="003C5BC2">
      <w:pPr>
        <w:ind w:firstLine="720"/>
        <w:jc w:val="both"/>
        <w:rPr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Структура затрат в год закладки промышленной плантации жимолости </w:t>
      </w:r>
      <w:r>
        <w:rPr>
          <w:b/>
          <w:i/>
          <w:sz w:val="28"/>
          <w:szCs w:val="28"/>
        </w:rPr>
        <w:t>(в пересчёте на 1 га):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Подготовка почвы и закладка участка – 10 500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саженцев – 300 000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Приобретение </w:t>
      </w:r>
      <w:r>
        <w:rPr>
          <w:sz w:val="28"/>
          <w:szCs w:val="28"/>
        </w:rPr>
        <w:t>семян трав для залужения – 6 000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агроткани застилочной – 112 500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Оснащение капельным орошением – 100 000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 затрат в год посадки жимолости: 529 000 рублей, в том числе 300 000 рублей на посадочный материал.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>Структур</w:t>
      </w:r>
      <w:r>
        <w:rPr>
          <w:b/>
          <w:sz w:val="28"/>
          <w:szCs w:val="28"/>
        </w:rPr>
        <w:t xml:space="preserve">а затрат на первый год после посадки </w:t>
      </w:r>
      <w:r>
        <w:rPr>
          <w:b/>
          <w:i/>
          <w:sz w:val="28"/>
          <w:szCs w:val="28"/>
        </w:rPr>
        <w:t>(в пересчёте на 1 га):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Уходные работы (скашивание почвопокровной культуры в междурядьях, капельное орошение) -  20 350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удобрений – 2 000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 затрат на первый год после посадки жимолости: 2</w:t>
      </w:r>
      <w:r>
        <w:rPr>
          <w:b/>
          <w:sz w:val="28"/>
          <w:szCs w:val="28"/>
        </w:rPr>
        <w:t>2 350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Структура затрат на второй год после посадки: первое плодоношение, ручной сбор плодов </w:t>
      </w:r>
      <w:r>
        <w:rPr>
          <w:b/>
          <w:i/>
          <w:sz w:val="28"/>
          <w:szCs w:val="28"/>
        </w:rPr>
        <w:t>(в пересчёте на 1 га):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Уходные работы (скашивание почвопокровной культуры в междурядьях, ручной сбор плодов, капельное орошение) -  34 650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</w:t>
      </w:r>
      <w:r>
        <w:rPr>
          <w:sz w:val="28"/>
          <w:szCs w:val="28"/>
        </w:rPr>
        <w:t>ение тары – 40 000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удобрений – 2 000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 затрат на второй год после посадки жимолости: 76 650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</w:p>
    <w:p w:rsidR="00000000" w:rsidRDefault="003C5BC2">
      <w:pPr>
        <w:ind w:firstLine="720"/>
        <w:jc w:val="both"/>
        <w:rPr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Структура затрат на третий год после посадки: второе плодоношение, ручной сбор плодов </w:t>
      </w:r>
      <w:r>
        <w:rPr>
          <w:b/>
          <w:i/>
          <w:sz w:val="28"/>
          <w:szCs w:val="28"/>
        </w:rPr>
        <w:t>(в пересчёте на 1 га):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Уходные рабо</w:t>
      </w:r>
      <w:r>
        <w:rPr>
          <w:sz w:val="28"/>
          <w:szCs w:val="28"/>
        </w:rPr>
        <w:t>ты (скашивание почвопокровной культуры в междурядьях, ручной сбор плодов, капельное орошение) -  57 250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удобрений – 2 000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 затрат на третий год после посадки жимолости: 59 250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lastRenderedPageBreak/>
        <w:t>Структура затрат на четвёртый год пос</w:t>
      </w:r>
      <w:r>
        <w:rPr>
          <w:b/>
          <w:sz w:val="28"/>
          <w:szCs w:val="28"/>
        </w:rPr>
        <w:t xml:space="preserve">ле посадки: первое промышленное плодоношение, механизированный сбор плодов </w:t>
      </w:r>
      <w:r>
        <w:rPr>
          <w:b/>
          <w:i/>
          <w:sz w:val="28"/>
          <w:szCs w:val="28"/>
        </w:rPr>
        <w:t>(в пересчёте на 1 га):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Уходные работы (скашивание почвопокровной культуры в междурядьях, механизированный сбор плодов, капельное орошение) -  25 800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удобрений –</w:t>
      </w:r>
      <w:r>
        <w:rPr>
          <w:sz w:val="28"/>
          <w:szCs w:val="28"/>
        </w:rPr>
        <w:t xml:space="preserve"> 3 000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 затрат на четвёртый год после посадки жимолости: 28 800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Структура </w:t>
      </w:r>
      <w:bookmarkStart w:id="1" w:name="OLE_LINK9"/>
      <w:r>
        <w:rPr>
          <w:b/>
          <w:sz w:val="28"/>
          <w:szCs w:val="28"/>
        </w:rPr>
        <w:t>на пятый год после посадки</w:t>
      </w:r>
      <w:bookmarkEnd w:id="1"/>
      <w:r>
        <w:rPr>
          <w:b/>
          <w:sz w:val="28"/>
          <w:szCs w:val="28"/>
        </w:rPr>
        <w:t xml:space="preserve">: промышленное плодоношение, механизированный сбор плодов </w:t>
      </w:r>
      <w:r>
        <w:rPr>
          <w:b/>
          <w:i/>
          <w:sz w:val="28"/>
          <w:szCs w:val="28"/>
        </w:rPr>
        <w:t>(в пересчёте на 1 га):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Уходные работы (скашивание почвопокровной культуры в </w:t>
      </w:r>
      <w:r>
        <w:rPr>
          <w:sz w:val="28"/>
          <w:szCs w:val="28"/>
        </w:rPr>
        <w:t>междурядьях, механизированный сбор плодов, капельное орошение) -  30 500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удобрений – 3 000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 затрат на пятый год после посадки жимолости: 33 500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</w:p>
    <w:p w:rsidR="00000000" w:rsidRDefault="003C5BC2">
      <w:pPr>
        <w:ind w:firstLine="720"/>
        <w:jc w:val="both"/>
        <w:rPr>
          <w:b/>
          <w:i/>
          <w:sz w:val="28"/>
          <w:szCs w:val="28"/>
        </w:rPr>
      </w:pPr>
      <w:bookmarkStart w:id="2" w:name="OLE_LINK7"/>
      <w:bookmarkStart w:id="3" w:name="OLE_LINK8"/>
      <w:r>
        <w:rPr>
          <w:b/>
          <w:sz w:val="28"/>
          <w:szCs w:val="28"/>
        </w:rPr>
        <w:t>Структура затрат с шестого по четырнадцатый года после посадки: промы</w:t>
      </w:r>
      <w:r>
        <w:rPr>
          <w:b/>
          <w:sz w:val="28"/>
          <w:szCs w:val="28"/>
        </w:rPr>
        <w:t xml:space="preserve">шленное плодоношение, механизированный сбор плодов </w:t>
      </w:r>
      <w:r>
        <w:rPr>
          <w:b/>
          <w:i/>
          <w:sz w:val="28"/>
          <w:szCs w:val="28"/>
        </w:rPr>
        <w:t>(в пересчёте на 1 га):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Уходные работы (скашивание почвопокровной культуры в междурядьях, механизированный сбор плодов, капельное орошение) -  31 850 рублей.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Приобретение удобрений – 3 000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 зат</w:t>
      </w:r>
      <w:r>
        <w:rPr>
          <w:b/>
          <w:sz w:val="28"/>
          <w:szCs w:val="28"/>
        </w:rPr>
        <w:t>рат с шестого по четырнадцатый года после посадки жимолости: 34 850 рублей.</w:t>
      </w:r>
    </w:p>
    <w:p w:rsidR="00000000" w:rsidRDefault="003C5BC2">
      <w:pPr>
        <w:ind w:firstLine="720"/>
        <w:jc w:val="both"/>
        <w:rPr>
          <w:b/>
          <w:i/>
          <w:sz w:val="28"/>
          <w:szCs w:val="28"/>
        </w:rPr>
      </w:pPr>
      <w:r>
        <w:rPr>
          <w:b/>
          <w:sz w:val="28"/>
          <w:szCs w:val="28"/>
        </w:rPr>
        <w:t xml:space="preserve">Структура затрат на пятнадцатый год после посадки: промышленное плодоношение, механизированный сбор плодов, раскорчёвка плантации </w:t>
      </w:r>
      <w:r>
        <w:rPr>
          <w:b/>
          <w:i/>
          <w:sz w:val="28"/>
          <w:szCs w:val="28"/>
        </w:rPr>
        <w:t>(в пересчёте на 1 га):</w:t>
      </w:r>
    </w:p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Уходные работы (скашивание </w:t>
      </w:r>
      <w:r>
        <w:rPr>
          <w:sz w:val="28"/>
          <w:szCs w:val="28"/>
        </w:rPr>
        <w:t>почвопокровной культуры в междурядьях, механизированный сбор плодов, капельное орошение) -  33 300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ИТОГО затрат на пятнадцатый год после посадки жимолости: 33 300 рублей.</w:t>
      </w:r>
    </w:p>
    <w:p w:rsidR="00000000" w:rsidRDefault="003C5BC2">
      <w:pPr>
        <w:ind w:firstLine="720"/>
        <w:jc w:val="both"/>
        <w:rPr>
          <w:b/>
          <w:sz w:val="28"/>
          <w:szCs w:val="28"/>
        </w:rPr>
      </w:pPr>
    </w:p>
    <w:bookmarkEnd w:id="2"/>
    <w:bookmarkEnd w:id="3"/>
    <w:p w:rsidR="00000000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Оптимальный срок эксплуатации промышленных насаждений жимолости  12-15 лет. </w:t>
      </w:r>
      <w:r w:rsidR="009E57DE">
        <w:rPr>
          <w:sz w:val="28"/>
          <w:szCs w:val="28"/>
        </w:rPr>
        <w:t>Начиная с четвёрт</w:t>
      </w:r>
      <w:r>
        <w:rPr>
          <w:sz w:val="28"/>
          <w:szCs w:val="28"/>
        </w:rPr>
        <w:t xml:space="preserve">ого года, культура входит в период промышленного плодоношения. При условиях наличия в хозяйстве искусственного водоёма либо скважины, трактора (МТЗ-82), телеги (2ПТС-4), агрегата для приготовления рабочей жидкости (АПЖ-12), опрыскивателя </w:t>
      </w:r>
      <w:r>
        <w:rPr>
          <w:sz w:val="28"/>
          <w:szCs w:val="28"/>
        </w:rPr>
        <w:t>(ОУМ-630-02), плуга (ПЛН 4-35), дисковой бороны (БДСТ-3,5А), культиватора (КСМ-5-03), агрегата для фрезерования и застилки агроткани (ORTUFLOR), бочки для полива (ПЦФ-4,0), прицепной ягодоуборочной машины (Joanna), агрегата для скашивания (КФС-4), агрегата</w:t>
      </w:r>
      <w:r>
        <w:rPr>
          <w:sz w:val="28"/>
          <w:szCs w:val="28"/>
        </w:rPr>
        <w:t xml:space="preserve"> для раскорчёвки плантации (</w:t>
      </w:r>
      <w:bookmarkStart w:id="4" w:name="OLE_LINK1"/>
      <w:bookmarkStart w:id="5" w:name="OLE_LINK2"/>
      <w:r>
        <w:rPr>
          <w:sz w:val="28"/>
          <w:szCs w:val="28"/>
        </w:rPr>
        <w:t>ФБН-1,5</w:t>
      </w:r>
      <w:bookmarkEnd w:id="4"/>
      <w:bookmarkEnd w:id="5"/>
      <w:r>
        <w:rPr>
          <w:sz w:val="28"/>
          <w:szCs w:val="28"/>
        </w:rPr>
        <w:t xml:space="preserve">), из расчёта эксплуатации на 15  лет и </w:t>
      </w:r>
      <w:r>
        <w:rPr>
          <w:sz w:val="28"/>
          <w:szCs w:val="28"/>
        </w:rPr>
        <w:lastRenderedPageBreak/>
        <w:t>применения ягодоуборочной техники, уровень рентабельности составляет 492 % (приложение А). Для максимальной загруженности сельскохозяйственной техники, рекомендуемая площадь под жим</w:t>
      </w:r>
      <w:r>
        <w:rPr>
          <w:sz w:val="28"/>
          <w:szCs w:val="28"/>
        </w:rPr>
        <w:t>олостью должна составлять 7-10 га. С целью увеличения сроков поступления свежей ягодной продукции и целесообразного использования сельскохозяйственной техники рекомендуется совместная посадка культур, пригодных  к механизированной уборке урожая – смородина</w:t>
      </w:r>
      <w:r>
        <w:rPr>
          <w:sz w:val="28"/>
          <w:szCs w:val="28"/>
        </w:rPr>
        <w:t xml:space="preserve"> чёрная, крыжовник, арония, шиповник.</w:t>
      </w:r>
    </w:p>
    <w:p w:rsidR="00000000" w:rsidRDefault="003C5BC2">
      <w:pPr>
        <w:ind w:firstLine="72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А.</w:t>
      </w:r>
    </w:p>
    <w:p w:rsidR="00000000" w:rsidRDefault="003C5BC2">
      <w:pPr>
        <w:ind w:firstLine="72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Экономический расчёт возделывания промышленной плантации жимолости </w:t>
      </w:r>
      <w:r>
        <w:rPr>
          <w:i/>
          <w:sz w:val="28"/>
          <w:szCs w:val="28"/>
        </w:rPr>
        <w:t>(в пересчёте на 1 га).</w:t>
      </w:r>
    </w:p>
    <w:tbl>
      <w:tblPr>
        <w:tblStyle w:val="a3"/>
        <w:tblW w:w="0" w:type="auto"/>
        <w:tblInd w:w="0" w:type="dxa"/>
        <w:tblLayout w:type="fixed"/>
        <w:tblLook w:val="0000" w:firstRow="0" w:lastRow="0" w:firstColumn="0" w:lastColumn="0" w:noHBand="0" w:noVBand="0"/>
      </w:tblPr>
      <w:tblGrid>
        <w:gridCol w:w="2628"/>
        <w:gridCol w:w="2520"/>
        <w:gridCol w:w="2030"/>
        <w:gridCol w:w="2393"/>
      </w:tblGrid>
      <w:tr w:rsidR="00000000">
        <w:tc>
          <w:tcPr>
            <w:tcW w:w="2628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Этапы/годы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Ориентировочная урожайность, т/га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Общие затраты, руб.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Доход от реализации плодов, руб. (при цене 80 000</w:t>
            </w:r>
            <w:r>
              <w:rPr>
                <w:sz w:val="28"/>
                <w:szCs w:val="28"/>
              </w:rPr>
              <w:t xml:space="preserve"> руб/т)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bookmarkStart w:id="6" w:name="OLE_LINK18" w:colFirst="2" w:colLast="2"/>
            <w:bookmarkStart w:id="7" w:name="OLE_LINK19" w:colFirst="2" w:colLast="2"/>
            <w:bookmarkStart w:id="8" w:name="_Hlk442948449"/>
            <w:bookmarkStart w:id="9" w:name="OLE_LINK16" w:colFirst="2" w:colLast="2"/>
            <w:bookmarkStart w:id="10" w:name="OLE_LINK17" w:colFirst="2" w:colLast="2"/>
            <w:bookmarkStart w:id="11" w:name="_Hlk442948105"/>
            <w:bookmarkStart w:id="12" w:name="OLE_LINK10" w:colFirst="2" w:colLast="2"/>
            <w:bookmarkStart w:id="13" w:name="OLE_LINK11" w:colFirst="2" w:colLast="2"/>
            <w:bookmarkStart w:id="14" w:name="OLE_LINK12" w:colFirst="2" w:colLast="2"/>
            <w:bookmarkStart w:id="15" w:name="OLE_LINK13" w:colFirst="2" w:colLast="2"/>
            <w:bookmarkStart w:id="16" w:name="_Hlk442947392"/>
            <w:r>
              <w:rPr>
                <w:sz w:val="28"/>
                <w:szCs w:val="28"/>
              </w:rPr>
              <w:t>Посадка растений.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529 000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 год после посадки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22 350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bookmarkStart w:id="17" w:name="OLE_LINK14" w:colFirst="1" w:colLast="1"/>
            <w:bookmarkStart w:id="18" w:name="OLE_LINK15" w:colFirst="1" w:colLast="1"/>
            <w:bookmarkStart w:id="19" w:name="_Hlk442947539"/>
            <w:r>
              <w:rPr>
                <w:sz w:val="28"/>
                <w:szCs w:val="28"/>
              </w:rPr>
              <w:t>2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0,3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76 650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0,8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59 250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64 000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2,5 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28 800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3,8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bookmarkStart w:id="20" w:name="OLE_LINK3"/>
            <w:bookmarkStart w:id="21" w:name="OLE_LINK4"/>
            <w:r>
              <w:rPr>
                <w:sz w:val="28"/>
                <w:szCs w:val="28"/>
              </w:rPr>
              <w:t>33 500</w:t>
            </w:r>
            <w:bookmarkEnd w:id="20"/>
            <w:bookmarkEnd w:id="21"/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304 000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bookmarkStart w:id="22" w:name="OLE_LINK5"/>
            <w:bookmarkStart w:id="23" w:name="OLE_LINK6"/>
            <w:r>
              <w:rPr>
                <w:sz w:val="28"/>
                <w:szCs w:val="28"/>
              </w:rPr>
              <w:t>34 850</w:t>
            </w:r>
            <w:bookmarkEnd w:id="22"/>
            <w:bookmarkEnd w:id="23"/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bookmarkEnd w:id="6"/>
      <w:bookmarkEnd w:id="7"/>
      <w:bookmarkEnd w:id="8"/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34 850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34 850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 г</w:t>
            </w:r>
            <w:r>
              <w:rPr>
                <w:sz w:val="28"/>
                <w:szCs w:val="28"/>
              </w:rPr>
              <w:t>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34 850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34 850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34 850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34 850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34 850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34 850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 год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6,0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33 300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480 000</w:t>
            </w:r>
          </w:p>
        </w:tc>
      </w:tr>
      <w:bookmarkEnd w:id="9"/>
      <w:bookmarkEnd w:id="10"/>
      <w:bookmarkEnd w:id="11"/>
      <w:bookmarkEnd w:id="17"/>
      <w:bookmarkEnd w:id="18"/>
      <w:bookmarkEnd w:id="19"/>
      <w:tr w:rsidR="00000000">
        <w:tc>
          <w:tcPr>
            <w:tcW w:w="2628" w:type="dxa"/>
          </w:tcPr>
          <w:p w:rsidR="00000000" w:rsidRDefault="003C5BC2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ИТОГО</w:t>
            </w:r>
          </w:p>
        </w:tc>
        <w:tc>
          <w:tcPr>
            <w:tcW w:w="2520" w:type="dxa"/>
          </w:tcPr>
          <w:p w:rsidR="00000000" w:rsidRDefault="003C5B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67,4</w:t>
            </w:r>
          </w:p>
        </w:tc>
        <w:tc>
          <w:tcPr>
            <w:tcW w:w="2030" w:type="dxa"/>
          </w:tcPr>
          <w:p w:rsidR="00000000" w:rsidRDefault="003C5B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1 096 500</w:t>
            </w:r>
          </w:p>
        </w:tc>
        <w:tc>
          <w:tcPr>
            <w:tcW w:w="2393" w:type="dxa"/>
          </w:tcPr>
          <w:p w:rsidR="00000000" w:rsidRDefault="003C5BC2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5 392 000</w:t>
            </w:r>
          </w:p>
        </w:tc>
      </w:tr>
      <w:bookmarkEnd w:id="12"/>
      <w:bookmarkEnd w:id="13"/>
      <w:bookmarkEnd w:id="14"/>
      <w:bookmarkEnd w:id="15"/>
      <w:bookmarkEnd w:id="16"/>
    </w:tbl>
    <w:p w:rsidR="00000000" w:rsidRDefault="003C5BC2">
      <w:pPr>
        <w:ind w:firstLine="720"/>
        <w:jc w:val="both"/>
        <w:rPr>
          <w:sz w:val="28"/>
          <w:szCs w:val="28"/>
        </w:rPr>
      </w:pPr>
    </w:p>
    <w:p w:rsidR="00000000" w:rsidRDefault="003C5BC2">
      <w:pPr>
        <w:ind w:firstLine="720"/>
        <w:jc w:val="both"/>
        <w:rPr>
          <w:sz w:val="28"/>
          <w:szCs w:val="28"/>
        </w:rPr>
      </w:pPr>
    </w:p>
    <w:p w:rsidR="00000000" w:rsidRDefault="00E51D4E">
      <w:pPr>
        <w:ind w:firstLine="720"/>
        <w:rPr>
          <w:sz w:val="28"/>
          <w:szCs w:val="28"/>
          <w:lang w:val="en-US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486400" cy="4114800"/>
            <wp:effectExtent l="0" t="0" r="0" b="0"/>
            <wp:docPr id="6" name="Изображение 7" descr="IMG_4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7" descr="IMG_407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0" w:rsidRDefault="003C5BC2">
      <w:pPr>
        <w:ind w:firstLine="720"/>
        <w:jc w:val="both"/>
        <w:rPr>
          <w:sz w:val="28"/>
          <w:szCs w:val="28"/>
          <w:lang w:val="en-US"/>
        </w:rPr>
      </w:pPr>
    </w:p>
    <w:p w:rsidR="003C5BC2" w:rsidRDefault="003C5BC2">
      <w:pPr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Общий вид участка жимолости, залож</w:t>
      </w:r>
      <w:r>
        <w:rPr>
          <w:sz w:val="28"/>
          <w:szCs w:val="28"/>
        </w:rPr>
        <w:t xml:space="preserve">енного по данной технологии осенью 2017 г. растениями, полученными методом </w:t>
      </w:r>
      <w:r>
        <w:rPr>
          <w:sz w:val="28"/>
          <w:szCs w:val="28"/>
          <w:lang w:val="en-US"/>
        </w:rPr>
        <w:t>in vitro</w:t>
      </w:r>
      <w:r>
        <w:rPr>
          <w:sz w:val="28"/>
          <w:szCs w:val="28"/>
        </w:rPr>
        <w:t xml:space="preserve"> (фото сделано осенью 2018 г).</w:t>
      </w:r>
    </w:p>
    <w:sectPr w:rsidR="003C5BC2" w:rsidSect="00B44115">
      <w:pgSz w:w="11906" w:h="16838"/>
      <w:pgMar w:top="284" w:right="850" w:bottom="1134" w:left="1701" w:header="708" w:footer="708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C5BC2" w:rsidRDefault="003C5BC2" w:rsidP="00B44115">
      <w:r>
        <w:separator/>
      </w:r>
    </w:p>
  </w:endnote>
  <w:endnote w:type="continuationSeparator" w:id="0">
    <w:p w:rsidR="003C5BC2" w:rsidRDefault="003C5BC2" w:rsidP="00B4411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C5BC2" w:rsidRDefault="003C5BC2" w:rsidP="00B44115">
      <w:r>
        <w:separator/>
      </w:r>
    </w:p>
  </w:footnote>
  <w:footnote w:type="continuationSeparator" w:id="0">
    <w:p w:rsidR="003C5BC2" w:rsidRDefault="003C5BC2" w:rsidP="00B4411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986"/>
    <w:rsid w:val="001B0364"/>
    <w:rsid w:val="001F4647"/>
    <w:rsid w:val="001F7267"/>
    <w:rsid w:val="003C5BC2"/>
    <w:rsid w:val="004533DF"/>
    <w:rsid w:val="00486B91"/>
    <w:rsid w:val="00487FD9"/>
    <w:rsid w:val="00553A9E"/>
    <w:rsid w:val="00574E32"/>
    <w:rsid w:val="00655CAD"/>
    <w:rsid w:val="006F123F"/>
    <w:rsid w:val="007664C6"/>
    <w:rsid w:val="008C6967"/>
    <w:rsid w:val="00962B56"/>
    <w:rsid w:val="009E57DE"/>
    <w:rsid w:val="00AC33AC"/>
    <w:rsid w:val="00B44115"/>
    <w:rsid w:val="00BD6B67"/>
    <w:rsid w:val="00C171C2"/>
    <w:rsid w:val="00CA78AB"/>
    <w:rsid w:val="00D343BF"/>
    <w:rsid w:val="00D54B1B"/>
    <w:rsid w:val="00D62865"/>
    <w:rsid w:val="00D6521A"/>
    <w:rsid w:val="00DB13C0"/>
    <w:rsid w:val="00DB3986"/>
    <w:rsid w:val="00E51D4E"/>
    <w:rsid w:val="00F43E08"/>
    <w:rsid w:val="00F95214"/>
    <w:rsid w:val="00FD2348"/>
    <w:rsid w:val="3A1C3165"/>
    <w:rsid w:val="3F504D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4F5A4BE1-56D0-4C83-B867-BA202DBDA2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99"/>
    <w:lsdException w:name="Medium Grid 3" w:uiPriority="99"/>
    <w:lsdException w:name="Dark List" w:uiPriority="99"/>
    <w:lsdException w:name="Colorful Shading" w:uiPriority="99"/>
    <w:lsdException w:name="Colorful List" w:uiPriority="99"/>
    <w:lsdException w:name="Colorful Grid" w:uiPriority="99"/>
    <w:lsdException w:name="Light Shading Accent 1" w:uiPriority="99"/>
    <w:lsdException w:name="Light List Accent 1" w:uiPriority="99"/>
    <w:lsdException w:name="Light Grid Accent 1" w:uiPriority="99"/>
    <w:lsdException w:name="Medium Shading 1 Accent 1" w:uiPriority="99"/>
    <w:lsdException w:name="Medium Shading 2 Accent 1" w:uiPriority="99"/>
    <w:lsdException w:name="Medium List 1 Accent 1" w:uiPriority="99"/>
    <w:lsdException w:name="Revision" w:semiHidden="1" w:uiPriority="99" w:unhideWhenUsed="1"/>
    <w:lsdException w:name="List Paragraph" w:uiPriority="99" w:qFormat="1"/>
    <w:lsdException w:name="Quote" w:uiPriority="99" w:qFormat="1"/>
    <w:lsdException w:name="Intense Quote" w:uiPriority="99" w:qFormat="1"/>
    <w:lsdException w:name="Medium List 2 Accent 1" w:uiPriority="99"/>
    <w:lsdException w:name="Medium Grid 1 Accent 1" w:uiPriority="99"/>
    <w:lsdException w:name="Medium Grid 2 Accent 1" w:uiPriority="99"/>
    <w:lsdException w:name="Medium Grid 3 Accent 1" w:uiPriority="99"/>
    <w:lsdException w:name="Dark List Accent 1" w:uiPriority="99"/>
    <w:lsdException w:name="Colorful Shading Accent 1" w:uiPriority="99"/>
    <w:lsdException w:name="Colorful List Accent 1" w:uiPriority="99"/>
    <w:lsdException w:name="Colorful Grid Accent 1" w:uiPriority="99"/>
    <w:lsdException w:name="Light Shading Accent 2" w:uiPriority="99"/>
    <w:lsdException w:name="Light List Accent 2" w:uiPriority="99"/>
    <w:lsdException w:name="Light Grid Accent 2" w:uiPriority="99"/>
    <w:lsdException w:name="Medium Shading 1 Accent 2" w:uiPriority="99"/>
    <w:lsdException w:name="Medium Shading 2 Accent 2" w:uiPriority="99"/>
    <w:lsdException w:name="Medium List 1 Accent 2" w:uiPriority="99"/>
    <w:lsdException w:name="Medium List 2 Accent 2" w:uiPriority="99"/>
    <w:lsdException w:name="Medium Grid 1 Accent 2" w:uiPriority="99"/>
    <w:lsdException w:name="Medium Grid 2 Accent 2" w:uiPriority="99"/>
    <w:lsdException w:name="Medium Grid 3 Accent 2" w:uiPriority="99"/>
    <w:lsdException w:name="Dark List Accent 2" w:uiPriority="99"/>
    <w:lsdException w:name="Colorful Shading Accent 2" w:uiPriority="99"/>
    <w:lsdException w:name="Colorful List Accent 2" w:uiPriority="99"/>
    <w:lsdException w:name="Colorful Grid Accent 2" w:uiPriority="99"/>
    <w:lsdException w:name="Light Shading Accent 3" w:uiPriority="99"/>
    <w:lsdException w:name="Light List Accent 3" w:uiPriority="99"/>
    <w:lsdException w:name="Light Grid Accent 3" w:uiPriority="99"/>
    <w:lsdException w:name="Medium Shading 1 Accent 3" w:uiPriority="99"/>
    <w:lsdException w:name="Medium Shading 2 Accent 3" w:uiPriority="99"/>
    <w:lsdException w:name="Medium List 1 Accent 3" w:uiPriority="99"/>
    <w:lsdException w:name="Medium List 2 Accent 3" w:uiPriority="99"/>
    <w:lsdException w:name="Medium Grid 1 Accent 3" w:uiPriority="99"/>
    <w:lsdException w:name="Medium Grid 2 Accent 3" w:uiPriority="99"/>
    <w:lsdException w:name="Medium Grid 3 Accent 3" w:uiPriority="99"/>
    <w:lsdException w:name="Dark List Accent 3" w:uiPriority="99"/>
    <w:lsdException w:name="Colorful Shading Accent 3" w:uiPriority="99"/>
    <w:lsdException w:name="Colorful List Accent 3" w:uiPriority="99"/>
    <w:lsdException w:name="Colorful Grid Accent 3" w:uiPriority="99"/>
    <w:lsdException w:name="Light Shading Accent 4" w:uiPriority="99"/>
    <w:lsdException w:name="Light List Accent 4" w:uiPriority="99"/>
    <w:lsdException w:name="Light Grid Accent 4" w:uiPriority="99"/>
    <w:lsdException w:name="Medium Shading 1 Accent 4" w:uiPriority="99"/>
    <w:lsdException w:name="Medium Shading 2 Accent 4" w:uiPriority="99"/>
    <w:lsdException w:name="Medium List 1 Accent 4" w:uiPriority="99"/>
    <w:lsdException w:name="Medium List 2 Accent 4" w:uiPriority="99"/>
    <w:lsdException w:name="Medium Grid 1 Accent 4" w:uiPriority="99"/>
    <w:lsdException w:name="Medium Grid 2 Accent 4" w:uiPriority="99"/>
    <w:lsdException w:name="Medium Grid 3 Accent 4" w:uiPriority="99"/>
    <w:lsdException w:name="Dark List Accent 4" w:uiPriority="99"/>
    <w:lsdException w:name="Colorful Shading Accent 4" w:uiPriority="99"/>
    <w:lsdException w:name="Colorful List Accent 4" w:uiPriority="99"/>
    <w:lsdException w:name="Colorful Grid Accent 4" w:uiPriority="99"/>
    <w:lsdException w:name="Light Shading Accent 5" w:uiPriority="99"/>
    <w:lsdException w:name="Light List Accent 5" w:uiPriority="99"/>
    <w:lsdException w:name="Light Grid Accent 5" w:uiPriority="99"/>
    <w:lsdException w:name="Medium Shading 1 Accent 5" w:uiPriority="99"/>
    <w:lsdException w:name="Medium Shading 2 Accent 5" w:uiPriority="99"/>
    <w:lsdException w:name="Medium List 1 Accent 5" w:uiPriority="99"/>
    <w:lsdException w:name="Medium List 2 Accent 5" w:uiPriority="99"/>
    <w:lsdException w:name="Medium Grid 1 Accent 5" w:uiPriority="99"/>
    <w:lsdException w:name="Medium Grid 2 Accent 5" w:uiPriority="99"/>
    <w:lsdException w:name="Medium Grid 3 Accent 5" w:uiPriority="99"/>
    <w:lsdException w:name="Dark List Accent 5" w:uiPriority="99"/>
    <w:lsdException w:name="Colorful Shading Accent 5" w:uiPriority="99"/>
    <w:lsdException w:name="Colorful List Accent 5" w:uiPriority="99"/>
    <w:lsdException w:name="Colorful Grid Accent 5" w:uiPriority="99"/>
    <w:lsdException w:name="Light Shading Accent 6" w:uiPriority="99"/>
    <w:lsdException w:name="Light List Accent 6" w:uiPriority="99"/>
    <w:lsdException w:name="Light Grid Accent 6" w:uiPriority="99"/>
    <w:lsdException w:name="Medium Shading 1 Accent 6" w:uiPriority="99"/>
    <w:lsdException w:name="Medium Shading 2 Accent 6" w:uiPriority="99"/>
    <w:lsdException w:name="Medium List 1 Accent 6" w:uiPriority="99"/>
    <w:lsdException w:name="Medium List 2 Accent 6" w:uiPriority="99"/>
    <w:lsdException w:name="Medium Grid 1 Accent 6" w:uiPriority="99"/>
    <w:lsdException w:name="Medium Grid 2 Accent 6" w:uiPriority="99"/>
    <w:lsdException w:name="Medium Grid 3 Accent 6" w:uiPriority="99"/>
    <w:lsdException w:name="Dark List Accent 6" w:uiPriority="99"/>
    <w:lsdException w:name="Colorful Shading Accent 6" w:uiPriority="99"/>
    <w:lsdException w:name="Colorful List Accent 6" w:uiPriority="99"/>
    <w:lsdException w:name="Colorful Grid Accent 6" w:uiPriority="99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B44115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B44115"/>
    <w:rPr>
      <w:sz w:val="24"/>
      <w:szCs w:val="24"/>
    </w:rPr>
  </w:style>
  <w:style w:type="paragraph" w:styleId="a6">
    <w:name w:val="footer"/>
    <w:basedOn w:val="a"/>
    <w:link w:val="a7"/>
    <w:rsid w:val="00B44115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rsid w:val="00B4411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tu@agropit.ru" TargetMode="External"/><Relationship Id="rId13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hyperlink" Target="mailto:agropit@mail.ru" TargetMode="Externa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5" Type="http://schemas.openxmlformats.org/officeDocument/2006/relationships/endnotes" Target="endnot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footnotes" Target="footnotes.xml"/><Relationship Id="rId9" Type="http://schemas.openxmlformats.org/officeDocument/2006/relationships/hyperlink" Target="http://www.agropit.ru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1360</Words>
  <Characters>7756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MoBIL GROUP</Company>
  <LinksUpToDate>false</LinksUpToDate>
  <CharactersWithSpaces>9098</CharactersWithSpaces>
  <SharedDoc>false</SharedDoc>
  <HLinks>
    <vt:vector size="18" baseType="variant">
      <vt:variant>
        <vt:i4>6357098</vt:i4>
      </vt:variant>
      <vt:variant>
        <vt:i4>6</vt:i4>
      </vt:variant>
      <vt:variant>
        <vt:i4>0</vt:i4>
      </vt:variant>
      <vt:variant>
        <vt:i4>5</vt:i4>
      </vt:variant>
      <vt:variant>
        <vt:lpwstr>http://www.agropit.ru/</vt:lpwstr>
      </vt:variant>
      <vt:variant>
        <vt:lpwstr/>
      </vt:variant>
      <vt:variant>
        <vt:i4>7077978</vt:i4>
      </vt:variant>
      <vt:variant>
        <vt:i4>3</vt:i4>
      </vt:variant>
      <vt:variant>
        <vt:i4>0</vt:i4>
      </vt:variant>
      <vt:variant>
        <vt:i4>5</vt:i4>
      </vt:variant>
      <vt:variant>
        <vt:lpwstr>mailto:tu@agropit.ru</vt:lpwstr>
      </vt:variant>
      <vt:variant>
        <vt:lpwstr/>
      </vt:variant>
      <vt:variant>
        <vt:i4>2752532</vt:i4>
      </vt:variant>
      <vt:variant>
        <vt:i4>0</vt:i4>
      </vt:variant>
      <vt:variant>
        <vt:i4>0</vt:i4>
      </vt:variant>
      <vt:variant>
        <vt:i4>5</vt:i4>
      </vt:variant>
      <vt:variant>
        <vt:lpwstr>mailto:agropit@mail.ru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65s2</dc:creator>
  <cp:keywords/>
  <cp:lastModifiedBy>Мичуринск-наукоград НПЦ Агропищепром</cp:lastModifiedBy>
  <cp:revision>2</cp:revision>
  <dcterms:created xsi:type="dcterms:W3CDTF">2019-01-28T13:29:00Z</dcterms:created>
  <dcterms:modified xsi:type="dcterms:W3CDTF">2019-01-28T13:29:00Z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1049-10.2.0.7587</vt:lpwstr>
  </property>
</Properties>
</file>